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04" w:rsidRPr="008867CA" w:rsidRDefault="00E44F04" w:rsidP="00E44F04">
      <w:pPr>
        <w:widowControl w:val="0"/>
        <w:autoSpaceDE w:val="0"/>
        <w:autoSpaceDN w:val="0"/>
        <w:adjustRightInd w:val="0"/>
        <w:rPr>
          <w:rFonts w:ascii="Skia" w:hAnsi="Skia"/>
          <w:b/>
          <w:bCs/>
          <w:color w:val="1A1A1A"/>
          <w:szCs w:val="26"/>
        </w:rPr>
      </w:pPr>
      <w:r w:rsidRPr="008867CA">
        <w:rPr>
          <w:rFonts w:ascii="Skia" w:hAnsi="Skia"/>
          <w:b/>
          <w:noProof/>
          <w:sz w:val="24"/>
          <w:szCs w:val="22"/>
        </w:rPr>
        <w:drawing>
          <wp:anchor distT="0" distB="0" distL="114300" distR="114300" simplePos="0" relativeHeight="251659264" behindDoc="1" locked="0" layoutInCell="1" allowOverlap="1" wp14:anchorId="78914BF9" wp14:editId="791C956D">
            <wp:simplePos x="0" y="0"/>
            <wp:positionH relativeFrom="column">
              <wp:posOffset>-972022</wp:posOffset>
            </wp:positionH>
            <wp:positionV relativeFrom="paragraph">
              <wp:posOffset>-913765</wp:posOffset>
            </wp:positionV>
            <wp:extent cx="7658100" cy="1415403"/>
            <wp:effectExtent l="0" t="0" r="0" b="7620"/>
            <wp:wrapNone/>
            <wp:docPr id="2" name="Picture 2" descr="Macintosh HD:Users:cori_wittman:Dropbox:Breakthrough:Logos:breakthrough-logo-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i_wittman:Dropbox:Breakthrough:Logos:breakthrough-logo-photos.jpg"/>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b="64500"/>
                    <a:stretch/>
                  </pic:blipFill>
                  <pic:spPr bwMode="auto">
                    <a:xfrm>
                      <a:off x="0" y="0"/>
                      <a:ext cx="7658100" cy="14154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4F04" w:rsidRPr="008867CA" w:rsidRDefault="00E44F04" w:rsidP="00E44F04">
      <w:pPr>
        <w:widowControl w:val="0"/>
        <w:autoSpaceDE w:val="0"/>
        <w:autoSpaceDN w:val="0"/>
        <w:adjustRightInd w:val="0"/>
        <w:rPr>
          <w:rFonts w:ascii="Skia" w:hAnsi="Skia"/>
          <w:b/>
          <w:bCs/>
          <w:color w:val="1A1A1A"/>
          <w:szCs w:val="26"/>
        </w:rPr>
      </w:pPr>
    </w:p>
    <w:p w:rsidR="00E44F04" w:rsidRPr="008867CA" w:rsidRDefault="00E44F04" w:rsidP="00E44F04">
      <w:pPr>
        <w:widowControl w:val="0"/>
        <w:autoSpaceDE w:val="0"/>
        <w:autoSpaceDN w:val="0"/>
        <w:adjustRightInd w:val="0"/>
        <w:rPr>
          <w:rFonts w:ascii="Skia" w:hAnsi="Skia"/>
          <w:b/>
          <w:bCs/>
          <w:color w:val="1A1A1A"/>
          <w:szCs w:val="26"/>
        </w:rPr>
      </w:pPr>
    </w:p>
    <w:p w:rsidR="00E44F04" w:rsidRPr="008867CA" w:rsidRDefault="00E44F04" w:rsidP="00E44F04">
      <w:pPr>
        <w:widowControl w:val="0"/>
        <w:autoSpaceDE w:val="0"/>
        <w:autoSpaceDN w:val="0"/>
        <w:adjustRightInd w:val="0"/>
        <w:rPr>
          <w:rFonts w:ascii="Skia" w:hAnsi="Skia"/>
          <w:b/>
          <w:bCs/>
          <w:color w:val="1A1A1A"/>
          <w:szCs w:val="26"/>
        </w:rPr>
      </w:pPr>
    </w:p>
    <w:p w:rsidR="008867CA" w:rsidRDefault="00BB7E16" w:rsidP="00E44F04">
      <w:pPr>
        <w:widowControl w:val="0"/>
        <w:autoSpaceDE w:val="0"/>
        <w:autoSpaceDN w:val="0"/>
        <w:adjustRightInd w:val="0"/>
        <w:rPr>
          <w:rFonts w:ascii="Skia" w:hAnsi="Skia"/>
          <w:b/>
          <w:bCs/>
          <w:color w:val="1A1A1A"/>
          <w:sz w:val="22"/>
          <w:szCs w:val="26"/>
        </w:rPr>
      </w:pPr>
      <w:r w:rsidRPr="008867CA">
        <w:rPr>
          <w:rFonts w:ascii="Skia" w:hAnsi="Skia"/>
          <w:i/>
          <w:iCs/>
          <w:noProof/>
          <w:color w:val="1A1A1A"/>
          <w:sz w:val="22"/>
          <w:szCs w:val="26"/>
        </w:rPr>
        <w:drawing>
          <wp:anchor distT="0" distB="0" distL="114300" distR="114300" simplePos="0" relativeHeight="251660288" behindDoc="0" locked="0" layoutInCell="1" allowOverlap="1" wp14:anchorId="2586270B" wp14:editId="269494CF">
            <wp:simplePos x="0" y="0"/>
            <wp:positionH relativeFrom="margin">
              <wp:posOffset>3429000</wp:posOffset>
            </wp:positionH>
            <wp:positionV relativeFrom="margin">
              <wp:posOffset>629920</wp:posOffset>
            </wp:positionV>
            <wp:extent cx="2971165" cy="17703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165" cy="177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4F04" w:rsidRDefault="00E44F04" w:rsidP="00E44F04">
      <w:pPr>
        <w:widowControl w:val="0"/>
        <w:autoSpaceDE w:val="0"/>
        <w:autoSpaceDN w:val="0"/>
        <w:adjustRightInd w:val="0"/>
        <w:rPr>
          <w:rFonts w:ascii="Skia" w:hAnsi="Skia"/>
          <w:b/>
          <w:bCs/>
          <w:color w:val="1A1A1A"/>
          <w:sz w:val="22"/>
          <w:szCs w:val="26"/>
        </w:rPr>
      </w:pPr>
    </w:p>
    <w:p w:rsidR="008867CA" w:rsidRPr="00BB7E16" w:rsidRDefault="008867CA" w:rsidP="00E44F04">
      <w:pPr>
        <w:widowControl w:val="0"/>
        <w:autoSpaceDE w:val="0"/>
        <w:autoSpaceDN w:val="0"/>
        <w:adjustRightInd w:val="0"/>
        <w:rPr>
          <w:rFonts w:ascii="Skia" w:hAnsi="Skia"/>
          <w:bCs/>
          <w:color w:val="1A1A1A"/>
          <w:sz w:val="22"/>
          <w:szCs w:val="26"/>
        </w:rPr>
      </w:pPr>
    </w:p>
    <w:p w:rsidR="00E44F04" w:rsidRPr="00BB7E16" w:rsidRDefault="00E44F04" w:rsidP="00E44F04">
      <w:pPr>
        <w:widowControl w:val="0"/>
        <w:autoSpaceDE w:val="0"/>
        <w:autoSpaceDN w:val="0"/>
        <w:adjustRightInd w:val="0"/>
        <w:rPr>
          <w:rFonts w:ascii="Skia" w:hAnsi="Skia"/>
          <w:bCs/>
          <w:color w:val="1A1A1A"/>
          <w:sz w:val="28"/>
          <w:szCs w:val="30"/>
        </w:rPr>
      </w:pPr>
      <w:r w:rsidRPr="00BB7E16">
        <w:rPr>
          <w:rFonts w:ascii="Skia" w:hAnsi="Skia"/>
          <w:bCs/>
          <w:color w:val="1A1A1A"/>
          <w:sz w:val="28"/>
          <w:szCs w:val="30"/>
        </w:rPr>
        <w:t>Breakthrough Teen Complex</w:t>
      </w:r>
      <w:r w:rsidR="003F01EE" w:rsidRPr="00BB7E16">
        <w:rPr>
          <w:rFonts w:ascii="Skia" w:hAnsi="Skia"/>
          <w:bCs/>
          <w:color w:val="1A1A1A"/>
          <w:sz w:val="28"/>
          <w:szCs w:val="30"/>
        </w:rPr>
        <w:t xml:space="preserve"> </w:t>
      </w:r>
    </w:p>
    <w:p w:rsidR="003F01EE" w:rsidRPr="008867CA" w:rsidRDefault="003F01EE" w:rsidP="00E44F04">
      <w:pPr>
        <w:rPr>
          <w:rFonts w:ascii="Skia" w:hAnsi="Skia"/>
          <w:color w:val="1A1A1A"/>
          <w:sz w:val="22"/>
          <w:szCs w:val="26"/>
        </w:rPr>
      </w:pPr>
    </w:p>
    <w:p w:rsidR="003C7E54" w:rsidRPr="007356F7" w:rsidRDefault="00E44F04" w:rsidP="00E44F04">
      <w:pPr>
        <w:rPr>
          <w:iCs/>
          <w:color w:val="1A1A1A"/>
          <w:sz w:val="18"/>
          <w:szCs w:val="26"/>
        </w:rPr>
      </w:pPr>
      <w:r w:rsidRPr="007356F7">
        <w:rPr>
          <w:iCs/>
          <w:color w:val="1A1A1A"/>
          <w:sz w:val="18"/>
          <w:szCs w:val="26"/>
        </w:rPr>
        <w:t xml:space="preserve">In partnership with </w:t>
      </w:r>
      <w:hyperlink r:id="rId8" w:history="1">
        <w:proofErr w:type="spellStart"/>
        <w:r w:rsidRPr="007356F7">
          <w:rPr>
            <w:iCs/>
            <w:color w:val="1237CA"/>
            <w:sz w:val="18"/>
            <w:szCs w:val="26"/>
            <w:u w:val="single" w:color="1237CA"/>
          </w:rPr>
          <w:t>Servantworks</w:t>
        </w:r>
        <w:proofErr w:type="spellEnd"/>
      </w:hyperlink>
      <w:r w:rsidRPr="007356F7">
        <w:rPr>
          <w:iCs/>
          <w:color w:val="1A1A1A"/>
          <w:sz w:val="18"/>
          <w:szCs w:val="26"/>
        </w:rPr>
        <w:t xml:space="preserve"> and The Well Bangkok, the Breakthrough </w:t>
      </w:r>
      <w:r w:rsidR="00173164" w:rsidRPr="007356F7">
        <w:rPr>
          <w:iCs/>
          <w:color w:val="1A1A1A"/>
          <w:sz w:val="18"/>
          <w:szCs w:val="26"/>
        </w:rPr>
        <w:t xml:space="preserve">Thailand </w:t>
      </w:r>
      <w:r w:rsidRPr="007356F7">
        <w:rPr>
          <w:iCs/>
          <w:color w:val="1A1A1A"/>
          <w:sz w:val="18"/>
          <w:szCs w:val="26"/>
        </w:rPr>
        <w:t xml:space="preserve">team is looking to raise </w:t>
      </w:r>
      <w:r w:rsidRPr="007356F7">
        <w:rPr>
          <w:b/>
          <w:iCs/>
          <w:color w:val="1A1A1A"/>
          <w:sz w:val="18"/>
          <w:szCs w:val="26"/>
        </w:rPr>
        <w:t>$70,000</w:t>
      </w:r>
      <w:r w:rsidRPr="007356F7">
        <w:rPr>
          <w:iCs/>
          <w:color w:val="1A1A1A"/>
          <w:sz w:val="18"/>
          <w:szCs w:val="26"/>
        </w:rPr>
        <w:t xml:space="preserve"> to fund construction of a teen living and learning complex in Thailand's rural, Northeast region.  </w:t>
      </w:r>
    </w:p>
    <w:p w:rsidR="003C7E54" w:rsidRPr="007356F7" w:rsidRDefault="003C7E54" w:rsidP="00E44F04">
      <w:pPr>
        <w:rPr>
          <w:iCs/>
          <w:color w:val="1A1A1A"/>
          <w:sz w:val="18"/>
          <w:szCs w:val="26"/>
        </w:rPr>
      </w:pPr>
    </w:p>
    <w:p w:rsidR="003F01EE" w:rsidRPr="007356F7" w:rsidRDefault="00E44F04" w:rsidP="00E44F04">
      <w:pPr>
        <w:rPr>
          <w:iCs/>
          <w:color w:val="1A1A1A"/>
          <w:sz w:val="18"/>
          <w:szCs w:val="26"/>
        </w:rPr>
      </w:pPr>
      <w:r w:rsidRPr="007356F7">
        <w:rPr>
          <w:iCs/>
          <w:color w:val="1A1A1A"/>
          <w:sz w:val="18"/>
          <w:szCs w:val="26"/>
        </w:rPr>
        <w:t>The complex will facilitate additional programming in prevention of sexual exploitation in one of Thailand's most vulnerable regions, including residential teen discipleship, alternative education and skills training. </w:t>
      </w:r>
    </w:p>
    <w:p w:rsidR="003C7E54" w:rsidRPr="008867CA" w:rsidRDefault="003C7E54" w:rsidP="00E44F04">
      <w:pPr>
        <w:rPr>
          <w:rFonts w:ascii="Skia" w:hAnsi="Skia"/>
          <w:i/>
          <w:iCs/>
          <w:color w:val="1A1A1A"/>
          <w:sz w:val="22"/>
          <w:szCs w:val="26"/>
        </w:rPr>
      </w:pPr>
    </w:p>
    <w:p w:rsidR="003C7E54" w:rsidRPr="00BB7E16" w:rsidRDefault="003C7E54" w:rsidP="00E44F04">
      <w:pPr>
        <w:rPr>
          <w:rFonts w:ascii="Skia" w:hAnsi="Skia"/>
          <w:i/>
          <w:iCs/>
          <w:color w:val="1A1A1A"/>
          <w:sz w:val="22"/>
          <w:szCs w:val="26"/>
        </w:rPr>
      </w:pPr>
      <w:r w:rsidRPr="008867CA">
        <w:rPr>
          <w:rFonts w:ascii="Skia" w:hAnsi="Skia"/>
          <w:i/>
          <w:iCs/>
          <w:color w:val="1A1A1A"/>
          <w:sz w:val="22"/>
          <w:szCs w:val="26"/>
        </w:rPr>
        <w:t xml:space="preserve">  </w:t>
      </w:r>
    </w:p>
    <w:p w:rsidR="008867CA" w:rsidRPr="008867CA" w:rsidRDefault="008867CA" w:rsidP="00E44F04">
      <w:pPr>
        <w:rPr>
          <w:rFonts w:ascii="Skia" w:hAnsi="Skia"/>
          <w:b/>
          <w:iCs/>
          <w:color w:val="1A1A1A"/>
          <w:sz w:val="22"/>
          <w:szCs w:val="26"/>
          <w:u w:val="single"/>
        </w:rPr>
      </w:pPr>
    </w:p>
    <w:p w:rsidR="003F01EE" w:rsidRPr="00BB7E16" w:rsidRDefault="003F01EE" w:rsidP="00E44F04">
      <w:pPr>
        <w:rPr>
          <w:rFonts w:ascii="Skia" w:hAnsi="Skia"/>
          <w:iCs/>
          <w:color w:val="1A1A1A"/>
          <w:sz w:val="22"/>
          <w:szCs w:val="26"/>
          <w:u w:val="single"/>
        </w:rPr>
      </w:pPr>
      <w:r w:rsidRPr="00BB7E16">
        <w:rPr>
          <w:rFonts w:ascii="Skia" w:hAnsi="Skia"/>
          <w:iCs/>
          <w:color w:val="1A1A1A"/>
          <w:sz w:val="22"/>
          <w:szCs w:val="26"/>
          <w:u w:val="single"/>
        </w:rPr>
        <w:t>Breakthrough Thailand:  Vision and Mission</w:t>
      </w:r>
    </w:p>
    <w:p w:rsidR="003F01EE" w:rsidRPr="008867CA" w:rsidRDefault="003F01EE" w:rsidP="00E44F04">
      <w:pPr>
        <w:rPr>
          <w:rFonts w:ascii="Skia" w:hAnsi="Skia"/>
          <w:b/>
          <w:iCs/>
          <w:color w:val="1A1A1A"/>
          <w:sz w:val="22"/>
          <w:szCs w:val="26"/>
          <w:u w:val="single"/>
        </w:rPr>
      </w:pPr>
    </w:p>
    <w:p w:rsidR="003F01EE" w:rsidRPr="007356F7" w:rsidRDefault="003F01EE" w:rsidP="003F01EE">
      <w:pPr>
        <w:pStyle w:val="BodyText"/>
        <w:rPr>
          <w:rFonts w:ascii="Arial" w:hAnsi="Arial" w:cs="Arial"/>
          <w:color w:val="auto"/>
          <w:sz w:val="18"/>
          <w:szCs w:val="22"/>
        </w:rPr>
      </w:pPr>
      <w:r w:rsidRPr="007356F7">
        <w:rPr>
          <w:rFonts w:ascii="Arial" w:hAnsi="Arial" w:cs="Arial"/>
          <w:color w:val="auto"/>
          <w:sz w:val="18"/>
          <w:szCs w:val="22"/>
        </w:rPr>
        <w:t xml:space="preserve">Through community-driven efforts, Breakthrough Thailand seeks to strike at the roots of trafficking and exploitation by restoring and transforming families, education systems and economic paradigms in Thailand’s rural </w:t>
      </w:r>
      <w:proofErr w:type="spellStart"/>
      <w:r w:rsidRPr="007356F7">
        <w:rPr>
          <w:rFonts w:ascii="Arial" w:hAnsi="Arial" w:cs="Arial"/>
          <w:color w:val="auto"/>
          <w:sz w:val="18"/>
          <w:szCs w:val="22"/>
        </w:rPr>
        <w:t>Isaan</w:t>
      </w:r>
      <w:proofErr w:type="spellEnd"/>
      <w:r w:rsidRPr="007356F7">
        <w:rPr>
          <w:rFonts w:ascii="Arial" w:hAnsi="Arial" w:cs="Arial"/>
          <w:color w:val="auto"/>
          <w:sz w:val="18"/>
          <w:szCs w:val="22"/>
        </w:rPr>
        <w:t xml:space="preserve"> communities.</w:t>
      </w:r>
    </w:p>
    <w:p w:rsidR="003F01EE" w:rsidRPr="007356F7" w:rsidRDefault="003F01EE" w:rsidP="003F01EE">
      <w:pPr>
        <w:rPr>
          <w:sz w:val="18"/>
          <w:szCs w:val="22"/>
        </w:rPr>
      </w:pPr>
      <w:r w:rsidRPr="007356F7">
        <w:rPr>
          <w:sz w:val="18"/>
          <w:szCs w:val="22"/>
        </w:rPr>
        <w:t>The Breakthrough community does this through:</w:t>
      </w:r>
    </w:p>
    <w:p w:rsidR="003F01EE" w:rsidRPr="007356F7" w:rsidRDefault="003F01EE" w:rsidP="003F01EE">
      <w:pPr>
        <w:pStyle w:val="ListParagraph"/>
        <w:numPr>
          <w:ilvl w:val="0"/>
          <w:numId w:val="2"/>
        </w:numPr>
        <w:rPr>
          <w:sz w:val="18"/>
          <w:szCs w:val="22"/>
        </w:rPr>
      </w:pPr>
      <w:r w:rsidRPr="007356F7">
        <w:rPr>
          <w:sz w:val="18"/>
          <w:szCs w:val="22"/>
        </w:rPr>
        <w:t xml:space="preserve">Investment in continued </w:t>
      </w:r>
      <w:r w:rsidRPr="007356F7">
        <w:rPr>
          <w:b/>
          <w:sz w:val="18"/>
          <w:szCs w:val="22"/>
        </w:rPr>
        <w:t>education</w:t>
      </w:r>
      <w:r w:rsidRPr="007356F7">
        <w:rPr>
          <w:sz w:val="18"/>
          <w:szCs w:val="22"/>
        </w:rPr>
        <w:t xml:space="preserve"> and leadership training for at-risk teens and young adults</w:t>
      </w:r>
    </w:p>
    <w:p w:rsidR="003F01EE" w:rsidRPr="007356F7" w:rsidRDefault="003F01EE" w:rsidP="003F01EE">
      <w:pPr>
        <w:pStyle w:val="ListParagraph"/>
        <w:numPr>
          <w:ilvl w:val="0"/>
          <w:numId w:val="2"/>
        </w:numPr>
        <w:rPr>
          <w:sz w:val="18"/>
          <w:szCs w:val="22"/>
        </w:rPr>
      </w:pPr>
      <w:r w:rsidRPr="007356F7">
        <w:rPr>
          <w:sz w:val="18"/>
          <w:szCs w:val="22"/>
        </w:rPr>
        <w:t xml:space="preserve">Modeling and teaching healthy relationships, parenting methods and </w:t>
      </w:r>
      <w:r w:rsidRPr="007356F7">
        <w:rPr>
          <w:b/>
          <w:sz w:val="18"/>
          <w:szCs w:val="22"/>
        </w:rPr>
        <w:t>family</w:t>
      </w:r>
      <w:r w:rsidRPr="007356F7">
        <w:rPr>
          <w:sz w:val="18"/>
          <w:szCs w:val="22"/>
        </w:rPr>
        <w:t xml:space="preserve"> dynamics </w:t>
      </w:r>
    </w:p>
    <w:p w:rsidR="003F01EE" w:rsidRPr="007356F7" w:rsidRDefault="003F01EE" w:rsidP="003F01EE">
      <w:pPr>
        <w:pStyle w:val="ListParagraph"/>
        <w:numPr>
          <w:ilvl w:val="0"/>
          <w:numId w:val="2"/>
        </w:numPr>
        <w:rPr>
          <w:sz w:val="18"/>
          <w:szCs w:val="22"/>
        </w:rPr>
      </w:pPr>
      <w:r w:rsidRPr="007356F7">
        <w:rPr>
          <w:sz w:val="18"/>
          <w:szCs w:val="22"/>
        </w:rPr>
        <w:t>Exploration of an “</w:t>
      </w:r>
      <w:r w:rsidRPr="00BB7E16">
        <w:rPr>
          <w:b/>
          <w:sz w:val="18"/>
          <w:szCs w:val="22"/>
        </w:rPr>
        <w:t>alternative economics</w:t>
      </w:r>
      <w:r w:rsidRPr="007356F7">
        <w:rPr>
          <w:sz w:val="18"/>
          <w:szCs w:val="22"/>
        </w:rPr>
        <w:t xml:space="preserve">” for </w:t>
      </w:r>
      <w:proofErr w:type="spellStart"/>
      <w:r w:rsidRPr="007356F7">
        <w:rPr>
          <w:sz w:val="18"/>
          <w:szCs w:val="22"/>
        </w:rPr>
        <w:t>Isaan</w:t>
      </w:r>
      <w:proofErr w:type="spellEnd"/>
      <w:r w:rsidRPr="007356F7">
        <w:rPr>
          <w:sz w:val="18"/>
          <w:szCs w:val="22"/>
        </w:rPr>
        <w:t xml:space="preserve"> </w:t>
      </w:r>
      <w:r w:rsidR="007356F7" w:rsidRPr="007356F7">
        <w:rPr>
          <w:sz w:val="18"/>
          <w:szCs w:val="22"/>
        </w:rPr>
        <w:t>youth and families</w:t>
      </w:r>
      <w:r w:rsidRPr="007356F7">
        <w:rPr>
          <w:sz w:val="18"/>
          <w:szCs w:val="22"/>
        </w:rPr>
        <w:t xml:space="preserve"> including sufficiency living, creative discovery, and innovative income generation </w:t>
      </w:r>
    </w:p>
    <w:p w:rsidR="003F01EE" w:rsidRPr="008867CA" w:rsidRDefault="003F01EE" w:rsidP="003F01EE">
      <w:pPr>
        <w:pStyle w:val="BodyText"/>
        <w:rPr>
          <w:rFonts w:ascii="Skia" w:hAnsi="Skia"/>
          <w:color w:val="auto"/>
          <w:sz w:val="22"/>
          <w:szCs w:val="22"/>
        </w:rPr>
      </w:pPr>
    </w:p>
    <w:p w:rsidR="00E44F04" w:rsidRPr="00BB7E16" w:rsidRDefault="00E44F04" w:rsidP="003F01EE">
      <w:pPr>
        <w:pStyle w:val="BodyText"/>
        <w:rPr>
          <w:rFonts w:ascii="Skia" w:hAnsi="Skia"/>
          <w:color w:val="auto"/>
          <w:sz w:val="22"/>
          <w:szCs w:val="22"/>
          <w:u w:val="single"/>
        </w:rPr>
      </w:pPr>
      <w:r w:rsidRPr="00BB7E16">
        <w:rPr>
          <w:rFonts w:ascii="Skia" w:hAnsi="Skia"/>
          <w:color w:val="auto"/>
          <w:sz w:val="22"/>
          <w:szCs w:val="22"/>
          <w:u w:val="single"/>
        </w:rPr>
        <w:t>Background</w:t>
      </w:r>
    </w:p>
    <w:p w:rsidR="00E44F04" w:rsidRPr="007356F7" w:rsidRDefault="00E44F04" w:rsidP="003F01EE">
      <w:pPr>
        <w:pStyle w:val="BodyText"/>
        <w:rPr>
          <w:rFonts w:ascii="Arial" w:hAnsi="Arial" w:cs="Arial"/>
          <w:color w:val="auto"/>
          <w:sz w:val="18"/>
          <w:szCs w:val="18"/>
        </w:rPr>
      </w:pPr>
      <w:r w:rsidRPr="007356F7">
        <w:rPr>
          <w:rFonts w:ascii="Arial" w:hAnsi="Arial" w:cs="Arial"/>
          <w:color w:val="auto"/>
          <w:sz w:val="18"/>
          <w:szCs w:val="18"/>
        </w:rPr>
        <w:t xml:space="preserve">In May 2012, a team of three young professional women and five Thai teenagers moved from </w:t>
      </w:r>
      <w:r w:rsidR="008867CA" w:rsidRPr="007356F7">
        <w:rPr>
          <w:rFonts w:ascii="Arial" w:hAnsi="Arial" w:cs="Arial"/>
          <w:color w:val="auto"/>
          <w:sz w:val="18"/>
          <w:szCs w:val="18"/>
        </w:rPr>
        <w:t xml:space="preserve">bustling </w:t>
      </w:r>
      <w:r w:rsidRPr="007356F7">
        <w:rPr>
          <w:rFonts w:ascii="Arial" w:hAnsi="Arial" w:cs="Arial"/>
          <w:color w:val="auto"/>
          <w:sz w:val="18"/>
          <w:szCs w:val="18"/>
        </w:rPr>
        <w:t xml:space="preserve">Bangkok to a </w:t>
      </w:r>
      <w:r w:rsidR="008867CA" w:rsidRPr="007356F7">
        <w:rPr>
          <w:rFonts w:ascii="Arial" w:hAnsi="Arial" w:cs="Arial"/>
          <w:color w:val="auto"/>
          <w:sz w:val="18"/>
          <w:szCs w:val="18"/>
        </w:rPr>
        <w:t xml:space="preserve">small, </w:t>
      </w:r>
      <w:r w:rsidRPr="007356F7">
        <w:rPr>
          <w:rFonts w:ascii="Arial" w:hAnsi="Arial" w:cs="Arial"/>
          <w:color w:val="auto"/>
          <w:sz w:val="18"/>
          <w:szCs w:val="18"/>
        </w:rPr>
        <w:t>rural village in Northeast Thailand to begin an experiment in rural teen discipleship and leadership development.  In the short 18 months that followed, the “experiment” showed surprising results in lives changed and communities reached.</w:t>
      </w:r>
    </w:p>
    <w:p w:rsidR="003C7E54" w:rsidRPr="007356F7" w:rsidRDefault="003F01EE" w:rsidP="003F01EE">
      <w:pPr>
        <w:pStyle w:val="BodyText"/>
        <w:rPr>
          <w:rFonts w:ascii="Arial" w:hAnsi="Arial" w:cs="Arial"/>
          <w:color w:val="auto"/>
          <w:sz w:val="18"/>
          <w:szCs w:val="18"/>
        </w:rPr>
      </w:pPr>
      <w:r w:rsidRPr="007356F7">
        <w:rPr>
          <w:rFonts w:ascii="Arial" w:hAnsi="Arial" w:cs="Arial"/>
          <w:color w:val="auto"/>
          <w:sz w:val="18"/>
          <w:szCs w:val="18"/>
        </w:rPr>
        <w:t xml:space="preserve">As of November 2013, </w:t>
      </w:r>
      <w:r w:rsidRPr="007356F7">
        <w:rPr>
          <w:rFonts w:ascii="Arial" w:hAnsi="Arial" w:cs="Arial"/>
          <w:b/>
          <w:color w:val="auto"/>
          <w:sz w:val="18"/>
          <w:szCs w:val="18"/>
        </w:rPr>
        <w:t>twelve</w:t>
      </w:r>
      <w:r w:rsidR="00E44F04" w:rsidRPr="007356F7">
        <w:rPr>
          <w:rFonts w:ascii="Arial" w:hAnsi="Arial" w:cs="Arial"/>
          <w:b/>
          <w:color w:val="auto"/>
          <w:sz w:val="18"/>
          <w:szCs w:val="18"/>
        </w:rPr>
        <w:t xml:space="preserve"> at-risk teenagers</w:t>
      </w:r>
      <w:r w:rsidR="00E44F04" w:rsidRPr="007356F7">
        <w:rPr>
          <w:rFonts w:ascii="Arial" w:hAnsi="Arial" w:cs="Arial"/>
          <w:color w:val="auto"/>
          <w:sz w:val="18"/>
          <w:szCs w:val="18"/>
        </w:rPr>
        <w:t xml:space="preserve"> </w:t>
      </w:r>
      <w:r w:rsidR="005B56B8">
        <w:rPr>
          <w:rFonts w:ascii="Arial" w:hAnsi="Arial" w:cs="Arial"/>
          <w:color w:val="auto"/>
          <w:sz w:val="18"/>
          <w:szCs w:val="18"/>
        </w:rPr>
        <w:t>have been</w:t>
      </w:r>
      <w:r w:rsidR="008867CA" w:rsidRPr="007356F7">
        <w:rPr>
          <w:rFonts w:ascii="Arial" w:hAnsi="Arial" w:cs="Arial"/>
          <w:color w:val="auto"/>
          <w:sz w:val="18"/>
          <w:szCs w:val="18"/>
        </w:rPr>
        <w:t xml:space="preserve"> </w:t>
      </w:r>
      <w:r w:rsidR="00E44F04" w:rsidRPr="007356F7">
        <w:rPr>
          <w:rFonts w:ascii="Arial" w:hAnsi="Arial" w:cs="Arial"/>
          <w:color w:val="auto"/>
          <w:sz w:val="18"/>
          <w:szCs w:val="18"/>
        </w:rPr>
        <w:t>enrolled i</w:t>
      </w:r>
      <w:r w:rsidR="007356F7" w:rsidRPr="007356F7">
        <w:rPr>
          <w:rFonts w:ascii="Arial" w:hAnsi="Arial" w:cs="Arial"/>
          <w:color w:val="auto"/>
          <w:sz w:val="18"/>
          <w:szCs w:val="18"/>
        </w:rPr>
        <w:t>n a local public school and voluntarily participating a strict discipleship and leadership development program</w:t>
      </w:r>
      <w:r w:rsidR="00E44F04" w:rsidRPr="007356F7">
        <w:rPr>
          <w:rFonts w:ascii="Arial" w:hAnsi="Arial" w:cs="Arial"/>
          <w:color w:val="auto"/>
          <w:sz w:val="18"/>
          <w:szCs w:val="18"/>
        </w:rPr>
        <w:t xml:space="preserve">.  </w:t>
      </w:r>
      <w:r w:rsidR="008867CA" w:rsidRPr="007356F7">
        <w:rPr>
          <w:rFonts w:ascii="Arial" w:hAnsi="Arial" w:cs="Arial"/>
          <w:color w:val="auto"/>
          <w:sz w:val="18"/>
          <w:szCs w:val="18"/>
        </w:rPr>
        <w:t xml:space="preserve">Prior to entering the Breakthrough program, many of these young women were on the verge of dropping out of school or otherwise exhibiting high risk of unhealthy behaviors.  </w:t>
      </w:r>
      <w:r w:rsidR="00E44F04" w:rsidRPr="007356F7">
        <w:rPr>
          <w:rFonts w:ascii="Arial" w:hAnsi="Arial" w:cs="Arial"/>
          <w:color w:val="auto"/>
          <w:sz w:val="18"/>
          <w:szCs w:val="18"/>
        </w:rPr>
        <w:t xml:space="preserve">The teen girls are </w:t>
      </w:r>
      <w:r w:rsidR="008867CA" w:rsidRPr="007356F7">
        <w:rPr>
          <w:rFonts w:ascii="Arial" w:hAnsi="Arial" w:cs="Arial"/>
          <w:color w:val="auto"/>
          <w:sz w:val="18"/>
          <w:szCs w:val="18"/>
        </w:rPr>
        <w:t xml:space="preserve">now </w:t>
      </w:r>
      <w:r w:rsidR="00E44F04" w:rsidRPr="007356F7">
        <w:rPr>
          <w:rFonts w:ascii="Arial" w:hAnsi="Arial" w:cs="Arial"/>
          <w:color w:val="auto"/>
          <w:sz w:val="18"/>
          <w:szCs w:val="18"/>
        </w:rPr>
        <w:t xml:space="preserve">being </w:t>
      </w:r>
      <w:proofErr w:type="spellStart"/>
      <w:r w:rsidR="00E44F04" w:rsidRPr="007356F7">
        <w:rPr>
          <w:rFonts w:ascii="Arial" w:hAnsi="Arial" w:cs="Arial"/>
          <w:color w:val="auto"/>
          <w:sz w:val="18"/>
          <w:szCs w:val="18"/>
        </w:rPr>
        <w:t>discipled</w:t>
      </w:r>
      <w:proofErr w:type="spellEnd"/>
      <w:r w:rsidR="00E44F04" w:rsidRPr="007356F7">
        <w:rPr>
          <w:rFonts w:ascii="Arial" w:hAnsi="Arial" w:cs="Arial"/>
          <w:color w:val="auto"/>
          <w:sz w:val="18"/>
          <w:szCs w:val="18"/>
        </w:rPr>
        <w:t xml:space="preserve"> and tut</w:t>
      </w:r>
      <w:r w:rsidR="00173164" w:rsidRPr="007356F7">
        <w:rPr>
          <w:rFonts w:ascii="Arial" w:hAnsi="Arial" w:cs="Arial"/>
          <w:color w:val="auto"/>
          <w:sz w:val="18"/>
          <w:szCs w:val="18"/>
        </w:rPr>
        <w:t>ored in a home environment</w:t>
      </w:r>
      <w:r w:rsidR="008867CA" w:rsidRPr="007356F7">
        <w:rPr>
          <w:rFonts w:ascii="Arial" w:hAnsi="Arial" w:cs="Arial"/>
          <w:color w:val="auto"/>
          <w:sz w:val="18"/>
          <w:szCs w:val="18"/>
        </w:rPr>
        <w:t>, and are showing signs of leadership in their school and home communities</w:t>
      </w:r>
      <w:r w:rsidR="00E44F04" w:rsidRPr="007356F7">
        <w:rPr>
          <w:rFonts w:ascii="Arial" w:hAnsi="Arial" w:cs="Arial"/>
          <w:color w:val="auto"/>
          <w:sz w:val="18"/>
          <w:szCs w:val="18"/>
        </w:rPr>
        <w:t xml:space="preserve">. </w:t>
      </w:r>
      <w:r w:rsidRPr="007356F7">
        <w:rPr>
          <w:rFonts w:ascii="Arial" w:hAnsi="Arial" w:cs="Arial"/>
          <w:color w:val="auto"/>
          <w:sz w:val="18"/>
          <w:szCs w:val="18"/>
        </w:rPr>
        <w:t xml:space="preserve"> </w:t>
      </w:r>
    </w:p>
    <w:p w:rsidR="008867CA" w:rsidRPr="007356F7" w:rsidRDefault="008867CA" w:rsidP="003F01EE">
      <w:pPr>
        <w:pStyle w:val="BodyText"/>
        <w:rPr>
          <w:rFonts w:ascii="Arial" w:hAnsi="Arial" w:cs="Arial"/>
          <w:color w:val="auto"/>
          <w:sz w:val="18"/>
          <w:szCs w:val="18"/>
        </w:rPr>
      </w:pPr>
      <w:r w:rsidRPr="007356F7">
        <w:rPr>
          <w:rFonts w:ascii="Arial" w:hAnsi="Arial" w:cs="Arial"/>
          <w:color w:val="auto"/>
          <w:sz w:val="18"/>
          <w:szCs w:val="18"/>
        </w:rPr>
        <w:t>As a part of their education and discipleship, the teens and staff/mentors facilitate a number of community outreach activities, including tutoring village youth;</w:t>
      </w:r>
      <w:r w:rsidR="005B56B8">
        <w:rPr>
          <w:rFonts w:ascii="Arial" w:hAnsi="Arial" w:cs="Arial"/>
          <w:color w:val="auto"/>
          <w:sz w:val="18"/>
          <w:szCs w:val="18"/>
        </w:rPr>
        <w:t xml:space="preserve"> reading programs;</w:t>
      </w:r>
      <w:r w:rsidRPr="007356F7">
        <w:rPr>
          <w:rFonts w:ascii="Arial" w:hAnsi="Arial" w:cs="Arial"/>
          <w:color w:val="auto"/>
          <w:sz w:val="18"/>
          <w:szCs w:val="18"/>
        </w:rPr>
        <w:t xml:space="preserve"> offering skills training opportunities; partnering with the local church, schools and police units; and facilitating sports, games and other positive youth activities.</w:t>
      </w:r>
    </w:p>
    <w:p w:rsidR="008867CA" w:rsidRPr="008867CA" w:rsidRDefault="008867CA" w:rsidP="003F01EE">
      <w:pPr>
        <w:pStyle w:val="BodyText"/>
        <w:rPr>
          <w:rFonts w:ascii="Skia" w:hAnsi="Skia"/>
          <w:color w:val="auto"/>
          <w:szCs w:val="20"/>
        </w:rPr>
      </w:pPr>
    </w:p>
    <w:p w:rsidR="00474557" w:rsidRPr="00BB7E16" w:rsidRDefault="00474557" w:rsidP="003F01EE">
      <w:pPr>
        <w:pStyle w:val="BodyText"/>
        <w:rPr>
          <w:rFonts w:ascii="Skia" w:hAnsi="Skia"/>
          <w:color w:val="auto"/>
          <w:sz w:val="22"/>
          <w:szCs w:val="22"/>
          <w:u w:val="single"/>
        </w:rPr>
      </w:pPr>
      <w:r w:rsidRPr="00BB7E16">
        <w:rPr>
          <w:rFonts w:ascii="Skia" w:hAnsi="Skia"/>
          <w:color w:val="auto"/>
          <w:sz w:val="22"/>
          <w:szCs w:val="22"/>
          <w:u w:val="single"/>
        </w:rPr>
        <w:t>Looking Forward:  A Focus on Education</w:t>
      </w:r>
    </w:p>
    <w:p w:rsidR="005B56B8" w:rsidRDefault="005B56B8" w:rsidP="003F01EE">
      <w:pPr>
        <w:pStyle w:val="BodyText"/>
        <w:rPr>
          <w:rFonts w:ascii="Arial" w:hAnsi="Arial" w:cs="Arial"/>
          <w:color w:val="auto"/>
          <w:sz w:val="18"/>
          <w:szCs w:val="18"/>
        </w:rPr>
      </w:pPr>
      <w:r>
        <w:rPr>
          <w:rFonts w:ascii="Arial" w:hAnsi="Arial" w:cs="Arial"/>
          <w:color w:val="auto"/>
          <w:sz w:val="18"/>
          <w:szCs w:val="18"/>
        </w:rPr>
        <w:t xml:space="preserve">Teens entering the residential program, and many village teens, have little or no educational foundation on which to build and compete effectively in a traditional school context. Many struggle with basic language and literacy, let alone more complex areas of critical thinking and problem solving. </w:t>
      </w:r>
    </w:p>
    <w:p w:rsidR="007356F7" w:rsidRDefault="00474557" w:rsidP="003F01EE">
      <w:pPr>
        <w:pStyle w:val="BodyText"/>
        <w:rPr>
          <w:rFonts w:ascii="Arial" w:hAnsi="Arial" w:cs="Arial"/>
          <w:color w:val="auto"/>
          <w:sz w:val="18"/>
          <w:szCs w:val="18"/>
        </w:rPr>
      </w:pPr>
      <w:r w:rsidRPr="007356F7">
        <w:rPr>
          <w:rFonts w:ascii="Arial" w:hAnsi="Arial" w:cs="Arial"/>
          <w:color w:val="auto"/>
          <w:sz w:val="18"/>
          <w:szCs w:val="18"/>
        </w:rPr>
        <w:t>Breakthrough is seeking to increase the quality of educational services pr</w:t>
      </w:r>
      <w:r w:rsidR="007356F7">
        <w:rPr>
          <w:rFonts w:ascii="Arial" w:hAnsi="Arial" w:cs="Arial"/>
          <w:color w:val="auto"/>
          <w:sz w:val="18"/>
          <w:szCs w:val="18"/>
        </w:rPr>
        <w:t>ovided in the community through two stages.  First, through increased investment in after-school tutoring services as a bridge toward providing more formal alternative/supplemental education for teens interested in completing a high school equivalency.</w:t>
      </w:r>
    </w:p>
    <w:p w:rsidR="00474557" w:rsidRPr="007356F7" w:rsidRDefault="007356F7" w:rsidP="007356F7">
      <w:pPr>
        <w:pStyle w:val="BodyText"/>
        <w:rPr>
          <w:rFonts w:ascii="Arial" w:hAnsi="Arial" w:cs="Arial"/>
          <w:color w:val="auto"/>
          <w:sz w:val="18"/>
          <w:szCs w:val="18"/>
        </w:rPr>
      </w:pPr>
      <w:r>
        <w:rPr>
          <w:rFonts w:ascii="Arial" w:hAnsi="Arial" w:cs="Arial"/>
          <w:color w:val="auto"/>
          <w:sz w:val="18"/>
          <w:szCs w:val="18"/>
        </w:rPr>
        <w:t xml:space="preserve">The first stage of activities is in progress as current staff and mentors are providing tutoring services to residential and local youth and recruiting local volunteers to supplement teaching.   However, an increase in quality of the educational services provided – particularly if moving toward a more formal “alternative education” program – is largely dependent on the recruitment of qualified educators (both local and foreign) that hold the same values and are willing to live and work in </w:t>
      </w:r>
      <w:r w:rsidR="00BB7E16">
        <w:rPr>
          <w:rFonts w:ascii="Arial" w:hAnsi="Arial" w:cs="Arial"/>
          <w:color w:val="auto"/>
          <w:sz w:val="18"/>
          <w:szCs w:val="18"/>
        </w:rPr>
        <w:t>an isolated, rural context.</w:t>
      </w:r>
    </w:p>
    <w:p w:rsidR="00E44F04" w:rsidRPr="00BB7E16" w:rsidRDefault="005B56B8" w:rsidP="003F01EE">
      <w:pPr>
        <w:pStyle w:val="BodyText"/>
        <w:rPr>
          <w:rFonts w:ascii="Skia" w:hAnsi="Skia"/>
          <w:color w:val="auto"/>
          <w:sz w:val="22"/>
          <w:szCs w:val="22"/>
          <w:u w:val="single"/>
        </w:rPr>
      </w:pPr>
      <w:r w:rsidRPr="00BB7E16">
        <w:rPr>
          <w:rFonts w:ascii="Skia" w:hAnsi="Skia"/>
          <w:color w:val="auto"/>
          <w:sz w:val="22"/>
          <w:szCs w:val="22"/>
          <w:u w:val="single"/>
        </w:rPr>
        <w:lastRenderedPageBreak/>
        <w:t>The Complex</w:t>
      </w:r>
    </w:p>
    <w:p w:rsidR="00173164" w:rsidRPr="005B56B8" w:rsidRDefault="003F01EE" w:rsidP="003F01EE">
      <w:pPr>
        <w:pStyle w:val="BodyText"/>
        <w:rPr>
          <w:rFonts w:ascii="Arial" w:hAnsi="Arial" w:cs="Arial"/>
          <w:color w:val="auto"/>
          <w:sz w:val="18"/>
          <w:szCs w:val="18"/>
        </w:rPr>
      </w:pPr>
      <w:r w:rsidRPr="005B56B8">
        <w:rPr>
          <w:rFonts w:ascii="Arial" w:hAnsi="Arial" w:cs="Arial"/>
          <w:color w:val="auto"/>
          <w:sz w:val="18"/>
          <w:szCs w:val="18"/>
        </w:rPr>
        <w:t xml:space="preserve">The Breakthrough family has quickly outgrown its makeshift quarters living out of the single-bedroom home </w:t>
      </w:r>
      <w:r w:rsidR="005B56B8">
        <w:rPr>
          <w:rFonts w:ascii="Arial" w:hAnsi="Arial" w:cs="Arial"/>
          <w:color w:val="auto"/>
          <w:sz w:val="18"/>
          <w:szCs w:val="18"/>
        </w:rPr>
        <w:t xml:space="preserve">of one of the founding staff.  </w:t>
      </w:r>
      <w:r w:rsidR="00173164" w:rsidRPr="005B56B8">
        <w:rPr>
          <w:rFonts w:ascii="Arial" w:hAnsi="Arial" w:cs="Arial"/>
          <w:color w:val="auto"/>
          <w:sz w:val="18"/>
          <w:szCs w:val="18"/>
        </w:rPr>
        <w:t>Recognizing opportunities to increase the quality of education and programming offered both to the residential teens as well as other at-risk teens in the village and surrounding areas, the Breakthrough team is seeking to expand facilities in the local village through the construction of a Breakthrough Teen Complex</w:t>
      </w:r>
      <w:r w:rsidR="008867CA" w:rsidRPr="005B56B8">
        <w:rPr>
          <w:rFonts w:ascii="Arial" w:hAnsi="Arial" w:cs="Arial"/>
          <w:color w:val="auto"/>
          <w:sz w:val="18"/>
          <w:szCs w:val="18"/>
        </w:rPr>
        <w:t xml:space="preserve">. </w:t>
      </w:r>
    </w:p>
    <w:p w:rsidR="008867CA" w:rsidRPr="005B56B8" w:rsidRDefault="008867CA" w:rsidP="003F01EE">
      <w:pPr>
        <w:pStyle w:val="BodyText"/>
        <w:rPr>
          <w:rFonts w:ascii="Arial" w:hAnsi="Arial" w:cs="Arial"/>
          <w:color w:val="auto"/>
          <w:sz w:val="18"/>
          <w:szCs w:val="18"/>
        </w:rPr>
      </w:pPr>
      <w:r w:rsidRPr="005B56B8">
        <w:rPr>
          <w:rFonts w:ascii="Arial" w:hAnsi="Arial" w:cs="Arial"/>
          <w:color w:val="auto"/>
          <w:sz w:val="18"/>
          <w:szCs w:val="18"/>
        </w:rPr>
        <w:t>The Teen Complex would facilitate the following forward-looking goals:</w:t>
      </w:r>
    </w:p>
    <w:p w:rsidR="005B56B8" w:rsidRDefault="005B56B8" w:rsidP="005B56B8">
      <w:pPr>
        <w:pStyle w:val="BodyText"/>
        <w:numPr>
          <w:ilvl w:val="0"/>
          <w:numId w:val="7"/>
        </w:numPr>
        <w:rPr>
          <w:rFonts w:ascii="Arial" w:hAnsi="Arial" w:cs="Arial"/>
          <w:color w:val="auto"/>
          <w:sz w:val="18"/>
          <w:szCs w:val="18"/>
        </w:rPr>
      </w:pPr>
      <w:r w:rsidRPr="00BB7E16">
        <w:rPr>
          <w:rFonts w:ascii="Arial" w:hAnsi="Arial" w:cs="Arial"/>
          <w:b/>
          <w:color w:val="auto"/>
          <w:sz w:val="18"/>
          <w:szCs w:val="18"/>
        </w:rPr>
        <w:t>Provide a safe, healthy</w:t>
      </w:r>
      <w:r w:rsidR="00BB7E16">
        <w:rPr>
          <w:rFonts w:ascii="Arial" w:hAnsi="Arial" w:cs="Arial"/>
          <w:b/>
          <w:color w:val="auto"/>
          <w:sz w:val="18"/>
          <w:szCs w:val="18"/>
        </w:rPr>
        <w:t xml:space="preserve"> and modest</w:t>
      </w:r>
      <w:r w:rsidRPr="00BB7E16">
        <w:rPr>
          <w:rFonts w:ascii="Arial" w:hAnsi="Arial" w:cs="Arial"/>
          <w:b/>
          <w:color w:val="auto"/>
          <w:sz w:val="18"/>
          <w:szCs w:val="18"/>
        </w:rPr>
        <w:t xml:space="preserve"> “living and learning” environment </w:t>
      </w:r>
      <w:r w:rsidR="00BB7E16" w:rsidRPr="00BB7E16">
        <w:rPr>
          <w:rFonts w:ascii="Arial" w:hAnsi="Arial" w:cs="Arial"/>
          <w:b/>
          <w:color w:val="auto"/>
          <w:sz w:val="18"/>
          <w:szCs w:val="18"/>
        </w:rPr>
        <w:t>for residential teens</w:t>
      </w:r>
      <w:r w:rsidR="00BB7E16">
        <w:rPr>
          <w:rFonts w:ascii="Arial" w:hAnsi="Arial" w:cs="Arial"/>
          <w:color w:val="auto"/>
          <w:sz w:val="18"/>
          <w:szCs w:val="18"/>
        </w:rPr>
        <w:br/>
      </w:r>
      <w:r w:rsidR="00BB7E16">
        <w:rPr>
          <w:rFonts w:ascii="Arial" w:hAnsi="Arial" w:cs="Arial"/>
          <w:i/>
          <w:color w:val="auto"/>
          <w:sz w:val="18"/>
          <w:szCs w:val="18"/>
        </w:rPr>
        <w:t>Living quarters – including sleeping, cooking, eating, washing and studying – for up to 15 residential teens, house parents and staff/volunteers</w:t>
      </w:r>
    </w:p>
    <w:p w:rsidR="008867CA" w:rsidRDefault="00BB7E16" w:rsidP="005B56B8">
      <w:pPr>
        <w:pStyle w:val="BodyText"/>
        <w:numPr>
          <w:ilvl w:val="0"/>
          <w:numId w:val="7"/>
        </w:numPr>
        <w:rPr>
          <w:rFonts w:ascii="Arial" w:hAnsi="Arial" w:cs="Arial"/>
          <w:color w:val="auto"/>
          <w:sz w:val="18"/>
          <w:szCs w:val="18"/>
        </w:rPr>
      </w:pPr>
      <w:r w:rsidRPr="00BB7E16">
        <w:rPr>
          <w:rFonts w:ascii="Arial" w:hAnsi="Arial" w:cs="Arial"/>
          <w:b/>
          <w:color w:val="auto"/>
          <w:sz w:val="18"/>
          <w:szCs w:val="18"/>
        </w:rPr>
        <w:t>Provide a positive alternative hangout for residential and village youth</w:t>
      </w:r>
      <w:r>
        <w:rPr>
          <w:rFonts w:ascii="Arial" w:hAnsi="Arial" w:cs="Arial"/>
          <w:color w:val="auto"/>
          <w:sz w:val="18"/>
          <w:szCs w:val="18"/>
        </w:rPr>
        <w:br/>
      </w:r>
      <w:r>
        <w:rPr>
          <w:rFonts w:ascii="Arial" w:hAnsi="Arial" w:cs="Arial"/>
          <w:i/>
          <w:color w:val="auto"/>
          <w:sz w:val="18"/>
          <w:szCs w:val="18"/>
        </w:rPr>
        <w:t>Community center including library, computer/study room, music room, game area, coffee shop/marketplace, sport court and gardens</w:t>
      </w:r>
    </w:p>
    <w:p w:rsidR="00173164" w:rsidRPr="00BB7E16" w:rsidRDefault="00BB7E16" w:rsidP="003F01EE">
      <w:pPr>
        <w:pStyle w:val="BodyText"/>
        <w:numPr>
          <w:ilvl w:val="0"/>
          <w:numId w:val="7"/>
        </w:numPr>
        <w:rPr>
          <w:rFonts w:ascii="Arial" w:hAnsi="Arial" w:cs="Arial"/>
          <w:color w:val="auto"/>
          <w:sz w:val="18"/>
          <w:szCs w:val="18"/>
        </w:rPr>
      </w:pPr>
      <w:r w:rsidRPr="00BB7E16">
        <w:rPr>
          <w:rFonts w:ascii="Arial" w:hAnsi="Arial" w:cs="Arial"/>
          <w:b/>
          <w:color w:val="auto"/>
          <w:sz w:val="18"/>
          <w:szCs w:val="18"/>
        </w:rPr>
        <w:t>Increase</w:t>
      </w:r>
      <w:r>
        <w:rPr>
          <w:rFonts w:ascii="Arial" w:hAnsi="Arial" w:cs="Arial"/>
          <w:b/>
          <w:color w:val="auto"/>
          <w:sz w:val="18"/>
          <w:szCs w:val="18"/>
        </w:rPr>
        <w:t xml:space="preserve"> quantity and quality of</w:t>
      </w:r>
      <w:r w:rsidRPr="00BB7E16">
        <w:rPr>
          <w:rFonts w:ascii="Arial" w:hAnsi="Arial" w:cs="Arial"/>
          <w:b/>
          <w:color w:val="auto"/>
          <w:sz w:val="18"/>
          <w:szCs w:val="18"/>
        </w:rPr>
        <w:t xml:space="preserve"> educational services and skills training provided</w:t>
      </w:r>
      <w:r>
        <w:rPr>
          <w:rFonts w:ascii="Arial" w:hAnsi="Arial" w:cs="Arial"/>
          <w:color w:val="auto"/>
          <w:sz w:val="18"/>
          <w:szCs w:val="18"/>
        </w:rPr>
        <w:br/>
      </w:r>
      <w:r>
        <w:rPr>
          <w:rFonts w:ascii="Arial" w:hAnsi="Arial" w:cs="Arial"/>
          <w:i/>
          <w:color w:val="auto"/>
          <w:sz w:val="18"/>
          <w:szCs w:val="18"/>
        </w:rPr>
        <w:t>Convertible classroom and work space, library and hands-on skills training through agriculture, gardening, metal-working or other enterprises</w:t>
      </w:r>
    </w:p>
    <w:p w:rsidR="00173164" w:rsidRPr="008867CA" w:rsidRDefault="00173164" w:rsidP="003F01EE">
      <w:pPr>
        <w:pStyle w:val="BodyText"/>
        <w:rPr>
          <w:rFonts w:ascii="Skia" w:hAnsi="Skia"/>
          <w:color w:val="auto"/>
          <w:sz w:val="22"/>
          <w:szCs w:val="22"/>
        </w:rPr>
      </w:pPr>
    </w:p>
    <w:p w:rsidR="00173164" w:rsidRDefault="00173164" w:rsidP="003F01EE">
      <w:pPr>
        <w:pStyle w:val="BodyText"/>
        <w:rPr>
          <w:rFonts w:ascii="Skia" w:hAnsi="Skia"/>
          <w:color w:val="auto"/>
          <w:sz w:val="22"/>
          <w:szCs w:val="22"/>
        </w:rPr>
      </w:pPr>
      <w:r w:rsidRPr="008867CA">
        <w:rPr>
          <w:rFonts w:ascii="Skia" w:hAnsi="Skia"/>
          <w:b/>
          <w:iCs/>
          <w:noProof/>
          <w:color w:val="1A1A1A"/>
          <w:sz w:val="22"/>
          <w:szCs w:val="26"/>
          <w:u w:val="single"/>
        </w:rPr>
        <w:drawing>
          <wp:inline distT="0" distB="0" distL="0" distR="0" wp14:anchorId="563A1162" wp14:editId="0CB9C7FA">
            <wp:extent cx="5727700" cy="4036695"/>
            <wp:effectExtent l="0" t="0" r="1270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4036695"/>
                    </a:xfrm>
                    <a:prstGeom prst="rect">
                      <a:avLst/>
                    </a:prstGeom>
                    <a:noFill/>
                    <a:ln>
                      <a:noFill/>
                    </a:ln>
                  </pic:spPr>
                </pic:pic>
              </a:graphicData>
            </a:graphic>
          </wp:inline>
        </w:drawing>
      </w:r>
    </w:p>
    <w:p w:rsidR="00BB7E16" w:rsidRDefault="00BB7E16" w:rsidP="003F01EE">
      <w:pPr>
        <w:pStyle w:val="BodyText"/>
        <w:rPr>
          <w:rFonts w:ascii="Skia" w:hAnsi="Skia"/>
          <w:color w:val="auto"/>
          <w:sz w:val="22"/>
          <w:szCs w:val="22"/>
        </w:rPr>
      </w:pPr>
    </w:p>
    <w:p w:rsidR="00BB7E16" w:rsidRPr="00BB7E16" w:rsidRDefault="00BB7E16" w:rsidP="003F01EE">
      <w:pPr>
        <w:pStyle w:val="BodyText"/>
        <w:rPr>
          <w:rFonts w:ascii="Skia" w:hAnsi="Skia"/>
          <w:color w:val="auto"/>
          <w:sz w:val="22"/>
          <w:szCs w:val="22"/>
          <w:u w:val="single"/>
        </w:rPr>
      </w:pPr>
      <w:r w:rsidRPr="00BB7E16">
        <w:rPr>
          <w:rFonts w:ascii="Skia" w:hAnsi="Skia"/>
          <w:color w:val="auto"/>
          <w:sz w:val="22"/>
          <w:szCs w:val="22"/>
          <w:u w:val="single"/>
        </w:rPr>
        <w:t>Program Budget</w:t>
      </w:r>
      <w:r w:rsidR="00960C2A">
        <w:rPr>
          <w:rFonts w:ascii="Skia" w:hAnsi="Skia"/>
          <w:color w:val="auto"/>
          <w:sz w:val="22"/>
          <w:szCs w:val="22"/>
          <w:u w:val="single"/>
        </w:rPr>
        <w:t xml:space="preserve"> Outline</w:t>
      </w:r>
    </w:p>
    <w:p w:rsidR="00960C2A" w:rsidRDefault="00960C2A" w:rsidP="00960C2A">
      <w:pPr>
        <w:pStyle w:val="BodyText"/>
        <w:numPr>
          <w:ilvl w:val="0"/>
          <w:numId w:val="8"/>
        </w:numPr>
        <w:rPr>
          <w:rFonts w:ascii="Arial" w:hAnsi="Arial" w:cs="Arial"/>
          <w:color w:val="auto"/>
          <w:sz w:val="18"/>
          <w:szCs w:val="18"/>
        </w:rPr>
      </w:pPr>
      <w:r w:rsidRPr="00960C2A">
        <w:rPr>
          <w:rFonts w:ascii="Arial" w:hAnsi="Arial" w:cs="Arial"/>
          <w:b/>
          <w:color w:val="auto"/>
          <w:sz w:val="18"/>
          <w:szCs w:val="18"/>
        </w:rPr>
        <w:t xml:space="preserve">Residential </w:t>
      </w:r>
      <w:r>
        <w:rPr>
          <w:rFonts w:ascii="Arial" w:hAnsi="Arial" w:cs="Arial"/>
          <w:b/>
          <w:color w:val="auto"/>
          <w:sz w:val="18"/>
          <w:szCs w:val="18"/>
        </w:rPr>
        <w:t>T</w:t>
      </w:r>
      <w:r w:rsidRPr="00960C2A">
        <w:rPr>
          <w:rFonts w:ascii="Arial" w:hAnsi="Arial" w:cs="Arial"/>
          <w:b/>
          <w:color w:val="auto"/>
          <w:sz w:val="18"/>
          <w:szCs w:val="18"/>
        </w:rPr>
        <w:t xml:space="preserve">een </w:t>
      </w:r>
      <w:r>
        <w:rPr>
          <w:rFonts w:ascii="Arial" w:hAnsi="Arial" w:cs="Arial"/>
          <w:b/>
          <w:color w:val="auto"/>
          <w:sz w:val="18"/>
          <w:szCs w:val="18"/>
        </w:rPr>
        <w:t>S</w:t>
      </w:r>
      <w:r w:rsidRPr="00960C2A">
        <w:rPr>
          <w:rFonts w:ascii="Arial" w:hAnsi="Arial" w:cs="Arial"/>
          <w:b/>
          <w:color w:val="auto"/>
          <w:sz w:val="18"/>
          <w:szCs w:val="18"/>
        </w:rPr>
        <w:t>cholarships</w:t>
      </w:r>
      <w:r>
        <w:rPr>
          <w:rFonts w:ascii="Arial" w:hAnsi="Arial" w:cs="Arial"/>
          <w:color w:val="auto"/>
          <w:sz w:val="18"/>
          <w:szCs w:val="18"/>
        </w:rPr>
        <w:br/>
        <w:t>2,000 baht (US$70) per month per student</w:t>
      </w:r>
      <w:r>
        <w:rPr>
          <w:rFonts w:ascii="Arial" w:hAnsi="Arial" w:cs="Arial"/>
          <w:color w:val="auto"/>
          <w:sz w:val="18"/>
          <w:szCs w:val="18"/>
        </w:rPr>
        <w:br/>
        <w:t>Average 12 teens = 24,000 baht (US$840/</w:t>
      </w:r>
      <w:proofErr w:type="spellStart"/>
      <w:r>
        <w:rPr>
          <w:rFonts w:ascii="Arial" w:hAnsi="Arial" w:cs="Arial"/>
          <w:color w:val="auto"/>
          <w:sz w:val="18"/>
          <w:szCs w:val="18"/>
        </w:rPr>
        <w:t>mo</w:t>
      </w:r>
      <w:proofErr w:type="spellEnd"/>
      <w:r>
        <w:rPr>
          <w:rFonts w:ascii="Arial" w:hAnsi="Arial" w:cs="Arial"/>
          <w:color w:val="auto"/>
          <w:sz w:val="18"/>
          <w:szCs w:val="18"/>
        </w:rPr>
        <w:t>)</w:t>
      </w:r>
    </w:p>
    <w:p w:rsidR="00960C2A" w:rsidRPr="004C0BB8" w:rsidRDefault="00960C2A" w:rsidP="00960C2A">
      <w:pPr>
        <w:pStyle w:val="BodyText"/>
        <w:numPr>
          <w:ilvl w:val="0"/>
          <w:numId w:val="8"/>
        </w:numPr>
        <w:rPr>
          <w:rFonts w:ascii="Arial" w:hAnsi="Arial" w:cs="Arial"/>
          <w:b/>
          <w:color w:val="auto"/>
          <w:sz w:val="18"/>
          <w:szCs w:val="18"/>
        </w:rPr>
      </w:pPr>
      <w:r w:rsidRPr="00960C2A">
        <w:rPr>
          <w:rFonts w:ascii="Arial" w:hAnsi="Arial" w:cs="Arial"/>
          <w:b/>
          <w:color w:val="auto"/>
          <w:sz w:val="18"/>
          <w:szCs w:val="18"/>
        </w:rPr>
        <w:t>Staff Support</w:t>
      </w:r>
      <w:r>
        <w:rPr>
          <w:rFonts w:ascii="Arial" w:hAnsi="Arial" w:cs="Arial"/>
          <w:color w:val="auto"/>
          <w:sz w:val="18"/>
          <w:szCs w:val="18"/>
        </w:rPr>
        <w:br/>
        <w:t>Two full-time residential staff; two full-time “mentors in training”</w:t>
      </w:r>
      <w:r>
        <w:rPr>
          <w:rFonts w:ascii="Arial" w:hAnsi="Arial" w:cs="Arial"/>
          <w:color w:val="auto"/>
          <w:sz w:val="18"/>
          <w:szCs w:val="18"/>
        </w:rPr>
        <w:br/>
        <w:t>50,000 baht ($1650/</w:t>
      </w:r>
      <w:proofErr w:type="spellStart"/>
      <w:r>
        <w:rPr>
          <w:rFonts w:ascii="Arial" w:hAnsi="Arial" w:cs="Arial"/>
          <w:color w:val="auto"/>
          <w:sz w:val="18"/>
          <w:szCs w:val="18"/>
        </w:rPr>
        <w:t>mo</w:t>
      </w:r>
      <w:proofErr w:type="spellEnd"/>
      <w:r>
        <w:rPr>
          <w:rFonts w:ascii="Arial" w:hAnsi="Arial" w:cs="Arial"/>
          <w:color w:val="auto"/>
          <w:sz w:val="18"/>
          <w:szCs w:val="18"/>
        </w:rPr>
        <w:t>)</w:t>
      </w:r>
    </w:p>
    <w:p w:rsidR="00BB7E16" w:rsidRPr="004C0BB8" w:rsidRDefault="004C0BB8" w:rsidP="004C0BB8">
      <w:pPr>
        <w:pStyle w:val="BodyText"/>
        <w:numPr>
          <w:ilvl w:val="0"/>
          <w:numId w:val="8"/>
        </w:numPr>
        <w:rPr>
          <w:rFonts w:ascii="Arial" w:hAnsi="Arial" w:cs="Arial"/>
          <w:b/>
          <w:color w:val="auto"/>
          <w:sz w:val="18"/>
          <w:szCs w:val="18"/>
        </w:rPr>
      </w:pPr>
      <w:r>
        <w:rPr>
          <w:rFonts w:ascii="Arial" w:hAnsi="Arial" w:cs="Arial"/>
          <w:b/>
          <w:color w:val="auto"/>
          <w:sz w:val="18"/>
          <w:szCs w:val="18"/>
        </w:rPr>
        <w:t xml:space="preserve">Special Project:  Breakthrough Teen </w:t>
      </w:r>
      <w:bookmarkStart w:id="0" w:name="_GoBack"/>
      <w:bookmarkEnd w:id="0"/>
      <w:r>
        <w:rPr>
          <w:rFonts w:ascii="Arial" w:hAnsi="Arial" w:cs="Arial"/>
          <w:b/>
          <w:color w:val="auto"/>
          <w:sz w:val="18"/>
          <w:szCs w:val="18"/>
        </w:rPr>
        <w:t>Complex</w:t>
      </w:r>
      <w:r>
        <w:rPr>
          <w:rFonts w:ascii="Arial" w:hAnsi="Arial" w:cs="Arial"/>
          <w:color w:val="auto"/>
          <w:sz w:val="18"/>
          <w:szCs w:val="18"/>
        </w:rPr>
        <w:br/>
        <w:t xml:space="preserve">Rough budget estimate: </w:t>
      </w:r>
      <w:r w:rsidRPr="004C0BB8">
        <w:rPr>
          <w:rFonts w:ascii="Arial" w:hAnsi="Arial" w:cs="Arial"/>
          <w:color w:val="auto"/>
          <w:sz w:val="18"/>
          <w:szCs w:val="18"/>
        </w:rPr>
        <w:t>US$70,000</w:t>
      </w:r>
    </w:p>
    <w:sectPr w:rsidR="00BB7E16" w:rsidRPr="004C0BB8" w:rsidSect="00BB7E16">
      <w:pgSz w:w="11900" w:h="16820"/>
      <w:pgMar w:top="1440" w:right="1368" w:bottom="81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kia">
    <w:panose1 w:val="020D05020202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521"/>
    <w:multiLevelType w:val="hybridMultilevel"/>
    <w:tmpl w:val="D108D3B4"/>
    <w:lvl w:ilvl="0" w:tplc="36B8B9F6">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75F92"/>
    <w:multiLevelType w:val="hybridMultilevel"/>
    <w:tmpl w:val="D28CF9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833E97"/>
    <w:multiLevelType w:val="hybridMultilevel"/>
    <w:tmpl w:val="98B0081E"/>
    <w:lvl w:ilvl="0" w:tplc="36B8B9F6">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8B703C"/>
    <w:multiLevelType w:val="hybridMultilevel"/>
    <w:tmpl w:val="E3DE3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93591"/>
    <w:multiLevelType w:val="hybridMultilevel"/>
    <w:tmpl w:val="C77EE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F3B19"/>
    <w:multiLevelType w:val="hybridMultilevel"/>
    <w:tmpl w:val="972E3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92D3A"/>
    <w:multiLevelType w:val="hybridMultilevel"/>
    <w:tmpl w:val="7E70F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50221"/>
    <w:multiLevelType w:val="hybridMultilevel"/>
    <w:tmpl w:val="3330489E"/>
    <w:lvl w:ilvl="0" w:tplc="C1763C6A">
      <w:start w:val="75"/>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04"/>
    <w:rsid w:val="00173164"/>
    <w:rsid w:val="003C7E54"/>
    <w:rsid w:val="003F01EE"/>
    <w:rsid w:val="00426577"/>
    <w:rsid w:val="00474557"/>
    <w:rsid w:val="004C0BB8"/>
    <w:rsid w:val="005B56B8"/>
    <w:rsid w:val="007356F7"/>
    <w:rsid w:val="008867CA"/>
    <w:rsid w:val="009076F8"/>
    <w:rsid w:val="00960C2A"/>
    <w:rsid w:val="00BB7E16"/>
    <w:rsid w:val="00E44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F8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F04"/>
    <w:pPr>
      <w:ind w:left="720"/>
      <w:contextualSpacing/>
    </w:pPr>
  </w:style>
  <w:style w:type="paragraph" w:styleId="BodyText">
    <w:name w:val="Body Text"/>
    <w:basedOn w:val="Normal"/>
    <w:link w:val="BodyTextChar"/>
    <w:uiPriority w:val="99"/>
    <w:unhideWhenUsed/>
    <w:rsid w:val="003F01EE"/>
    <w:pPr>
      <w:spacing w:after="200"/>
    </w:pPr>
    <w:rPr>
      <w:rFonts w:asciiTheme="minorHAnsi" w:hAnsiTheme="minorHAnsi" w:cstheme="minorBidi"/>
      <w:color w:val="FFFFFF" w:themeColor="background1"/>
      <w:szCs w:val="24"/>
    </w:rPr>
  </w:style>
  <w:style w:type="character" w:customStyle="1" w:styleId="BodyTextChar">
    <w:name w:val="Body Text Char"/>
    <w:basedOn w:val="DefaultParagraphFont"/>
    <w:link w:val="BodyText"/>
    <w:uiPriority w:val="99"/>
    <w:rsid w:val="003F01EE"/>
    <w:rPr>
      <w:rFonts w:asciiTheme="minorHAnsi" w:hAnsiTheme="minorHAnsi" w:cstheme="minorBidi"/>
      <w:color w:val="FFFFFF" w:themeColor="background1"/>
      <w:szCs w:val="24"/>
    </w:rPr>
  </w:style>
  <w:style w:type="paragraph" w:styleId="BalloonText">
    <w:name w:val="Balloon Text"/>
    <w:basedOn w:val="Normal"/>
    <w:link w:val="BalloonTextChar"/>
    <w:uiPriority w:val="99"/>
    <w:semiHidden/>
    <w:unhideWhenUsed/>
    <w:rsid w:val="003C7E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E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F04"/>
    <w:pPr>
      <w:ind w:left="720"/>
      <w:contextualSpacing/>
    </w:pPr>
  </w:style>
  <w:style w:type="paragraph" w:styleId="BodyText">
    <w:name w:val="Body Text"/>
    <w:basedOn w:val="Normal"/>
    <w:link w:val="BodyTextChar"/>
    <w:uiPriority w:val="99"/>
    <w:unhideWhenUsed/>
    <w:rsid w:val="003F01EE"/>
    <w:pPr>
      <w:spacing w:after="200"/>
    </w:pPr>
    <w:rPr>
      <w:rFonts w:asciiTheme="minorHAnsi" w:hAnsiTheme="minorHAnsi" w:cstheme="minorBidi"/>
      <w:color w:val="FFFFFF" w:themeColor="background1"/>
      <w:szCs w:val="24"/>
    </w:rPr>
  </w:style>
  <w:style w:type="character" w:customStyle="1" w:styleId="BodyTextChar">
    <w:name w:val="Body Text Char"/>
    <w:basedOn w:val="DefaultParagraphFont"/>
    <w:link w:val="BodyText"/>
    <w:uiPriority w:val="99"/>
    <w:rsid w:val="003F01EE"/>
    <w:rPr>
      <w:rFonts w:asciiTheme="minorHAnsi" w:hAnsiTheme="minorHAnsi" w:cstheme="minorBidi"/>
      <w:color w:val="FFFFFF" w:themeColor="background1"/>
      <w:szCs w:val="24"/>
    </w:rPr>
  </w:style>
  <w:style w:type="paragraph" w:styleId="BalloonText">
    <w:name w:val="Balloon Text"/>
    <w:basedOn w:val="Normal"/>
    <w:link w:val="BalloonTextChar"/>
    <w:uiPriority w:val="99"/>
    <w:semiHidden/>
    <w:unhideWhenUsed/>
    <w:rsid w:val="003C7E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E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ervantworks.com/breakthroughthailand/" TargetMode="External"/><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765</Words>
  <Characters>4365</Characters>
  <Application>Microsoft Macintosh Word</Application>
  <DocSecurity>0</DocSecurity>
  <Lines>36</Lines>
  <Paragraphs>10</Paragraphs>
  <ScaleCrop>false</ScaleCrop>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Wittman</dc:creator>
  <cp:keywords/>
  <dc:description/>
  <cp:lastModifiedBy>Cori Wittman</cp:lastModifiedBy>
  <cp:revision>1</cp:revision>
  <dcterms:created xsi:type="dcterms:W3CDTF">2013-11-25T02:41:00Z</dcterms:created>
  <dcterms:modified xsi:type="dcterms:W3CDTF">2013-11-25T05:18:00Z</dcterms:modified>
</cp:coreProperties>
</file>